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8E9E5" w14:textId="77777777" w:rsidR="00017147" w:rsidRDefault="00893E49" w:rsidP="00BD6BCD">
      <w:pPr>
        <w:pStyle w:val="Ttulo2"/>
      </w:pPr>
      <w:r>
        <w:t>CIRCULAR N°</w:t>
      </w:r>
    </w:p>
    <w:p w14:paraId="3D41D8DF" w14:textId="77777777" w:rsidR="003F1BDC" w:rsidRDefault="003F1BDC" w:rsidP="00B037A3">
      <w:pPr>
        <w:pStyle w:val="Standard"/>
        <w:jc w:val="center"/>
      </w:pPr>
    </w:p>
    <w:p w14:paraId="2229C552" w14:textId="77777777" w:rsidR="00017147" w:rsidRDefault="00893E49">
      <w:pPr>
        <w:jc w:val="both"/>
        <w:rPr>
          <w:rFonts w:ascii="Arial" w:hAnsi="Arial"/>
        </w:rPr>
      </w:pPr>
      <w:r>
        <w:rPr>
          <w:rFonts w:ascii="Arial" w:hAnsi="Arial"/>
        </w:rPr>
        <w:t>PARA: EAPB, IPS VACUNADORAS, Entidades Vacunadoras del Distrito Especial de Santiago de Cali.</w:t>
      </w:r>
    </w:p>
    <w:p w14:paraId="37839A41" w14:textId="77777777" w:rsidR="00017147" w:rsidRDefault="00017147">
      <w:pPr>
        <w:jc w:val="both"/>
        <w:rPr>
          <w:rFonts w:ascii="Arial" w:hAnsi="Arial"/>
        </w:rPr>
      </w:pPr>
    </w:p>
    <w:p w14:paraId="4EC183AF" w14:textId="77777777" w:rsidR="00017147" w:rsidRDefault="00FE4C27">
      <w:pPr>
        <w:jc w:val="both"/>
      </w:pPr>
      <w:r>
        <w:rPr>
          <w:rFonts w:ascii="Arial" w:hAnsi="Arial"/>
        </w:rPr>
        <w:t>ASUNTO: Distribución asignación 900</w:t>
      </w:r>
      <w:r w:rsidR="00EB08D2">
        <w:t xml:space="preserve"> </w:t>
      </w:r>
      <w:r w:rsidR="00893E49">
        <w:rPr>
          <w:rFonts w:ascii="Arial" w:hAnsi="Arial"/>
        </w:rPr>
        <w:t>dosis</w:t>
      </w:r>
      <w:r w:rsidR="00EB08D2">
        <w:rPr>
          <w:rFonts w:ascii="Calibri" w:hAnsi="Calibri" w:cs="Calibri"/>
          <w:color w:val="000000"/>
          <w:shd w:val="clear" w:color="auto" w:fill="FFFFFF"/>
        </w:rPr>
        <w:t xml:space="preserve"> Covid-19 del </w:t>
      </w:r>
      <w:r w:rsidR="00893E49">
        <w:rPr>
          <w:rFonts w:ascii="Arial" w:hAnsi="Arial"/>
        </w:rPr>
        <w:t>SPIKEVAX, LABORATORIO MODERNA</w:t>
      </w:r>
      <w:r w:rsidR="00EB08D2" w:rsidRPr="00EB08D2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FD4A89">
        <w:rPr>
          <w:rFonts w:ascii="Calibri" w:hAnsi="Calibri" w:cs="Calibri"/>
          <w:color w:val="000000"/>
          <w:shd w:val="clear" w:color="auto" w:fill="FFFFFF"/>
        </w:rPr>
        <w:t>JN.1</w:t>
      </w:r>
      <w:r w:rsidR="00FD4A89">
        <w:rPr>
          <w:rFonts w:ascii="Arial" w:hAnsi="Arial"/>
        </w:rPr>
        <w:t xml:space="preserve">, </w:t>
      </w:r>
      <w:r w:rsidR="00893E49">
        <w:rPr>
          <w:rFonts w:ascii="Arial" w:hAnsi="Arial"/>
        </w:rPr>
        <w:t>asignado mediante Radicado</w:t>
      </w:r>
      <w:r w:rsidR="00893E49">
        <w:rPr>
          <w:rFonts w:ascii="Arial" w:hAnsi="Arial"/>
          <w:bCs/>
          <w:color w:val="000000"/>
          <w:shd w:val="clear" w:color="auto" w:fill="FFFFFF"/>
        </w:rPr>
        <w:t xml:space="preserve"> del Ministerio de</w:t>
      </w:r>
      <w:r w:rsidR="00DD7E45">
        <w:rPr>
          <w:rFonts w:ascii="Arial" w:hAnsi="Arial"/>
          <w:bCs/>
          <w:color w:val="000000"/>
          <w:shd w:val="clear" w:color="auto" w:fill="FFFFFF"/>
        </w:rPr>
        <w:t xml:space="preserve"> Salud y Protección </w:t>
      </w:r>
      <w:r w:rsidR="00D451A7">
        <w:rPr>
          <w:rFonts w:ascii="Arial" w:hAnsi="Arial"/>
          <w:bCs/>
          <w:color w:val="000000"/>
          <w:shd w:val="clear" w:color="auto" w:fill="FFFFFF"/>
        </w:rPr>
        <w:t>Social del</w:t>
      </w:r>
      <w:r w:rsidR="00EB08D2">
        <w:rPr>
          <w:rFonts w:ascii="Arial" w:hAnsi="Arial"/>
          <w:bCs/>
          <w:color w:val="000000"/>
          <w:shd w:val="clear" w:color="auto" w:fill="FFFFFF"/>
        </w:rPr>
        <w:t xml:space="preserve"> 23 de abril de 2025</w:t>
      </w:r>
      <w:r w:rsidR="00893E49">
        <w:rPr>
          <w:rFonts w:ascii="Arial" w:hAnsi="Arial"/>
          <w:bCs/>
          <w:color w:val="000000"/>
          <w:shd w:val="clear" w:color="auto" w:fill="FFFFFF"/>
        </w:rPr>
        <w:t>.</w:t>
      </w:r>
    </w:p>
    <w:p w14:paraId="70E5A2C5" w14:textId="77777777" w:rsidR="00017147" w:rsidRDefault="00017147">
      <w:pPr>
        <w:jc w:val="both"/>
        <w:rPr>
          <w:rFonts w:ascii="Arial" w:hAnsi="Arial"/>
          <w:bCs/>
          <w:color w:val="000000"/>
          <w:shd w:val="clear" w:color="auto" w:fill="FFFFFF"/>
        </w:rPr>
      </w:pPr>
    </w:p>
    <w:p w14:paraId="34A2435F" w14:textId="77777777" w:rsidR="00017147" w:rsidRDefault="00893E49">
      <w:pPr>
        <w:jc w:val="both"/>
        <w:rPr>
          <w:rFonts w:ascii="Arial" w:hAnsi="Arial"/>
          <w:bCs/>
          <w:color w:val="000000"/>
          <w:shd w:val="clear" w:color="auto" w:fill="FFFFFF"/>
        </w:rPr>
      </w:pPr>
      <w:r>
        <w:rPr>
          <w:rFonts w:ascii="Arial" w:hAnsi="Arial"/>
          <w:bCs/>
          <w:color w:val="000000"/>
          <w:shd w:val="clear" w:color="auto" w:fill="FFFFFF"/>
        </w:rPr>
        <w:t>El Ente Territorial Secretaría de Salud Distrital de Cali, cumpliendo con las directrices emanadas del Ministerio de Salud y Protección Social mediante radicado descrito, realiza la distribución de acuerdo a los lineamientos del Plan Nacional de Vacunación del Programa Ampliado de Inmunización.</w:t>
      </w:r>
    </w:p>
    <w:p w14:paraId="4FFF6B41" w14:textId="77777777" w:rsidR="00017147" w:rsidRDefault="00017147">
      <w:pPr>
        <w:jc w:val="both"/>
        <w:rPr>
          <w:rFonts w:ascii="Arial" w:hAnsi="Arial"/>
          <w:bCs/>
          <w:color w:val="000000"/>
          <w:shd w:val="clear" w:color="auto" w:fill="FFFFFF"/>
        </w:rPr>
      </w:pPr>
    </w:p>
    <w:p w14:paraId="14C26AFE" w14:textId="77777777" w:rsidR="00017147" w:rsidRDefault="00893E49">
      <w:pPr>
        <w:jc w:val="both"/>
        <w:rPr>
          <w:rFonts w:ascii="Arial" w:hAnsi="Arial"/>
          <w:bCs/>
          <w:color w:val="000000"/>
          <w:shd w:val="clear" w:color="auto" w:fill="FFFFFF"/>
        </w:rPr>
      </w:pPr>
      <w:r>
        <w:rPr>
          <w:rFonts w:ascii="Arial" w:hAnsi="Arial"/>
          <w:bCs/>
          <w:color w:val="000000"/>
          <w:shd w:val="clear" w:color="auto" w:fill="FFFFFF"/>
        </w:rPr>
        <w:t>A continuación, se relacionan las cantidades asignadas por EAPB, discriminadas por IPS vacunadora (cubren la población asegurada de la respectiva EAPB).</w:t>
      </w:r>
    </w:p>
    <w:p w14:paraId="018F459A" w14:textId="77777777" w:rsidR="00017147" w:rsidRDefault="00893E49">
      <w:pPr>
        <w:jc w:val="both"/>
        <w:rPr>
          <w:rFonts w:ascii="Arial" w:hAnsi="Arial"/>
          <w:b/>
          <w:bCs/>
          <w:color w:val="000000"/>
          <w:shd w:val="clear" w:color="auto" w:fill="FFFFFF"/>
        </w:rPr>
      </w:pPr>
      <w:r>
        <w:rPr>
          <w:rFonts w:ascii="Arial" w:hAnsi="Arial"/>
          <w:b/>
          <w:bCs/>
          <w:color w:val="000000"/>
          <w:shd w:val="clear" w:color="auto" w:fill="FFFFFF"/>
        </w:rPr>
        <w:t>Tabla No. 1. Distribución por EAPB y por IPS</w:t>
      </w:r>
    </w:p>
    <w:p w14:paraId="706DE8AE" w14:textId="77777777" w:rsidR="00017147" w:rsidRDefault="00017147">
      <w:pPr>
        <w:jc w:val="both"/>
        <w:rPr>
          <w:b/>
        </w:rPr>
      </w:pPr>
    </w:p>
    <w:p w14:paraId="43843CD8" w14:textId="77777777" w:rsidR="00D451A7" w:rsidRDefault="00D451A7">
      <w:pPr>
        <w:jc w:val="both"/>
        <w:rPr>
          <w:b/>
        </w:rPr>
      </w:pPr>
    </w:p>
    <w:tbl>
      <w:tblPr>
        <w:tblW w:w="94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0"/>
        <w:gridCol w:w="1740"/>
        <w:gridCol w:w="1420"/>
        <w:gridCol w:w="1545"/>
      </w:tblGrid>
      <w:tr w:rsidR="00C3207C" w:rsidRPr="00C3207C" w14:paraId="3E7A3281" w14:textId="77777777" w:rsidTr="00C3207C">
        <w:trPr>
          <w:trHeight w:val="300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31F038F" w14:textId="77777777" w:rsidR="00C3207C" w:rsidRPr="00C3207C" w:rsidRDefault="00C3207C" w:rsidP="00C3207C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7D85DAB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 xml:space="preserve">DISTRIBUCCION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28E1EFE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 xml:space="preserve">ENTREGADAS 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147E71F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 xml:space="preserve">OBSERVACIONES </w:t>
            </w:r>
          </w:p>
        </w:tc>
      </w:tr>
      <w:tr w:rsidR="00C3207C" w:rsidRPr="00C3207C" w14:paraId="727D4984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5913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 xml:space="preserve"> ANGIOGRAFIA DE OCCIDENTE S.A CAPITOLIO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2DE1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F3DE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7166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35B0DA16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49A2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ANGIOGRAFIA DE OCCIDENTE S.A VASQUEZ COBO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AF48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386A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43DA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706979C5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5A4D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 xml:space="preserve"> ANGIOGRAFIA DE OCCIDENTE S.A VILLACOLOMBIA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33C9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6A82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9B173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5818E26B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5F7F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CENTRO MEDICO COLSUBSIDIO CALI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5864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0B238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E989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4E79679D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FECF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 xml:space="preserve">CENTRO MEDICO SURA AVENTURA PLAZA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6202A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EAB6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20D5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3AEC26DB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E2E1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 xml:space="preserve">EPS SANITAS CENTRO MEDICO CARRERA 43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9A57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FC2F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6539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4F2D1700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6FA9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EPS SANITAS CENTRO MEDICO FLORA INDUSTRIAL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608A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F662D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903B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5E67156B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469A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EPS SANITAS CENTRO MEDICO VERSALLES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2F20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1CCC6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7C01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383296A3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88A8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ESE CENTRO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6641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FA18E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AB89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26086BFF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CC53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ESE LADERA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4F36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BA42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688A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0E1050C7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E4D6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ESE NORTE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BF5A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E930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BC45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38C207E5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8E21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ESE ORIENTE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456F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64B4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1BC4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189300E1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9FEE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ESE SUR ORIENTE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28BC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85B69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9DF2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592A3F87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57D28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ESPRI NUESTRA SEÑORA DE FATIMA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5FAE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66D7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E44E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060A972D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166A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lastRenderedPageBreak/>
              <w:t>IDIME CAMBULOS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C61D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905B3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C8296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6790FCA7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554A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AMISALUD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DDB7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6331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9FAA2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3338414C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90C6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BASICA CARDIOPREVENT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CA4D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EC07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8C5B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664ED667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DC9F8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COMFANDI MORICHAL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9DBE7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F838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6B3E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3FC9F821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260D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COMFANDI TEQUENDAMA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AB7E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FAD4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9319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382C0438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DFDB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COMFANDI TORRES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B48B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0620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B3FE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7FAE1DFE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B63B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IDIME CRA 1RA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BFC4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7CE0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5978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0CEB1F1E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8B77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JAVESALUD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272C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C61B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BF538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6B861B8F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7719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MEDICIPS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D292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18BC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BB24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0C7553C4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21BB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PREVENTIVA FARALLONES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6C240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D761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A50A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71692B6C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4599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SALUD SURA CHIPICHAPE CALI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A553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111B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51C3E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05731E6F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B136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SURA TEQUENDAMA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62E0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E154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FE9A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24D2E5A0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3C8D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VIVA 1 A CRA 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B7D9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FCBC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B0B5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384DFCAF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E4BF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VIVA 1A CAMBULOS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4103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F0D2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4953C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6E1FCC39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8FFB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IPS VIVIR SURA CALI NORTE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51D3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C3A1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9EE7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06199181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8B69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 xml:space="preserve">IPS VIVIR SURA </w:t>
            </w:r>
            <w:proofErr w:type="spellStart"/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SURA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19C7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D0F1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8BBD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4B7509F8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AC0D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SANACION Y VIDA IPS SAS (CALI)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2C51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DEBD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E529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6C5B7D34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5226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SERSALUD SA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85A97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2415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E935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1DD8680E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23C3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SERVICIOS INTEGRADOS DE SALUD SAS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AAA8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DF6D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1DC2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3444AA6D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ACFE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SERVIMEDIC QUIRON CIS VIDA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3FD2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5A4B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C496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01738221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DBB5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SERVIMEDIC QUIRON RIO CAUCA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B8CDD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D986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97FC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23FB3FA3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EED3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VIRREY SOLIS ORIENTE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EF63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B35C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E96C8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0F93F0A2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26E7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VIRREY SOLIS UNICENTRO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7231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8875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D55D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40EDAFAA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31E6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VIRREY SOLIS VERSALLES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1420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0C16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503A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  <w:tr w:rsidR="00C3207C" w:rsidRPr="00C3207C" w14:paraId="1DA8B394" w14:textId="77777777" w:rsidTr="00C3207C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978EA7D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TOTAL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EC8C688" w14:textId="77777777" w:rsidR="00C3207C" w:rsidRPr="00C3207C" w:rsidRDefault="00C3207C" w:rsidP="00C3207C">
            <w:pPr>
              <w:widowControl/>
              <w:suppressAutoHyphens w:val="0"/>
              <w:autoSpaceDN/>
              <w:jc w:val="right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900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7751277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1524EE0" w14:textId="77777777" w:rsidR="00C3207C" w:rsidRPr="00C3207C" w:rsidRDefault="00C3207C" w:rsidP="00C3207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3207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 w:bidi="ar-SA"/>
              </w:rPr>
              <w:t> </w:t>
            </w:r>
          </w:p>
        </w:tc>
      </w:tr>
    </w:tbl>
    <w:p w14:paraId="6BFE0430" w14:textId="77777777" w:rsidR="00D451A7" w:rsidRDefault="00D451A7">
      <w:pPr>
        <w:jc w:val="both"/>
        <w:rPr>
          <w:b/>
        </w:rPr>
      </w:pPr>
    </w:p>
    <w:p w14:paraId="0AF393F6" w14:textId="77777777" w:rsidR="00017147" w:rsidRDefault="00017147"/>
    <w:p w14:paraId="3D7FF4D9" w14:textId="77777777" w:rsidR="00017147" w:rsidRDefault="00893E49">
      <w:pPr>
        <w:rPr>
          <w:rFonts w:ascii="Arial" w:hAnsi="Arial"/>
        </w:rPr>
      </w:pPr>
      <w:r>
        <w:rPr>
          <w:rFonts w:ascii="Arial" w:hAnsi="Arial"/>
        </w:rPr>
        <w:t>Al redondear las asignaciones a la presentación de la citada vacuna (10 dosis de 0.25 ml), se relaciona la asignación por IPS vacunadora:</w:t>
      </w:r>
    </w:p>
    <w:p w14:paraId="70E0F050" w14:textId="77777777" w:rsidR="00B02D38" w:rsidRDefault="00B02D38" w:rsidP="00B02D38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Arial" w:eastAsia="Times New Roman" w:hAnsi="Arial"/>
          <w:b/>
          <w:bCs/>
          <w:i/>
          <w:iCs/>
          <w:color w:val="333333"/>
          <w:kern w:val="0"/>
          <w:lang w:eastAsia="es-CO" w:bidi="ar-SA"/>
        </w:rPr>
      </w:pPr>
      <w:r w:rsidRPr="00B02D38">
        <w:rPr>
          <w:rFonts w:ascii="Arial" w:eastAsia="Times New Roman" w:hAnsi="Arial"/>
          <w:b/>
          <w:bCs/>
          <w:i/>
          <w:iCs/>
          <w:color w:val="333333"/>
          <w:kern w:val="0"/>
          <w:lang w:eastAsia="es-CO" w:bidi="ar-SA"/>
        </w:rPr>
        <w:t xml:space="preserve">Posología de </w:t>
      </w:r>
      <w:proofErr w:type="spellStart"/>
      <w:r w:rsidRPr="00B02D38">
        <w:rPr>
          <w:rFonts w:ascii="Arial" w:eastAsia="Times New Roman" w:hAnsi="Arial"/>
          <w:b/>
          <w:bCs/>
          <w:i/>
          <w:iCs/>
          <w:color w:val="333333"/>
          <w:kern w:val="0"/>
          <w:lang w:eastAsia="es-CO" w:bidi="ar-SA"/>
        </w:rPr>
        <w:t>Spikevax</w:t>
      </w:r>
      <w:proofErr w:type="spellEnd"/>
      <w:r w:rsidRPr="00B02D38">
        <w:rPr>
          <w:rFonts w:ascii="Arial" w:eastAsia="Times New Roman" w:hAnsi="Arial"/>
          <w:b/>
          <w:bCs/>
          <w:i/>
          <w:iCs/>
          <w:color w:val="333333"/>
          <w:kern w:val="0"/>
          <w:lang w:eastAsia="es-CO" w:bidi="ar-SA"/>
        </w:rPr>
        <w:t xml:space="preserve"> JN.1</w:t>
      </w:r>
    </w:p>
    <w:p w14:paraId="007011D8" w14:textId="77777777" w:rsidR="00C3207C" w:rsidRDefault="00C3207C" w:rsidP="00B02D38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Arial" w:eastAsia="Times New Roman" w:hAnsi="Arial"/>
          <w:b/>
          <w:bCs/>
          <w:i/>
          <w:iCs/>
          <w:color w:val="333333"/>
          <w:kern w:val="0"/>
          <w:lang w:eastAsia="es-CO" w:bidi="ar-SA"/>
        </w:rPr>
      </w:pPr>
    </w:p>
    <w:p w14:paraId="66694AC8" w14:textId="77777777" w:rsidR="00C3207C" w:rsidRDefault="00C3207C" w:rsidP="00B02D38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Arial" w:eastAsia="Times New Roman" w:hAnsi="Arial"/>
          <w:b/>
          <w:bCs/>
          <w:i/>
          <w:iCs/>
          <w:color w:val="333333"/>
          <w:kern w:val="0"/>
          <w:lang w:eastAsia="es-CO" w:bidi="ar-SA"/>
        </w:rPr>
      </w:pPr>
    </w:p>
    <w:p w14:paraId="7066C727" w14:textId="77777777" w:rsidR="00C3207C" w:rsidRDefault="00C3207C" w:rsidP="00B02D38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Arial" w:eastAsia="Times New Roman" w:hAnsi="Arial"/>
          <w:b/>
          <w:bCs/>
          <w:i/>
          <w:iCs/>
          <w:color w:val="333333"/>
          <w:kern w:val="0"/>
          <w:lang w:eastAsia="es-CO" w:bidi="ar-SA"/>
        </w:rPr>
      </w:pPr>
    </w:p>
    <w:p w14:paraId="31F30912" w14:textId="77777777" w:rsidR="00C3207C" w:rsidRPr="00B02D38" w:rsidRDefault="00C3207C" w:rsidP="00B02D38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Arial" w:eastAsia="Times New Roman" w:hAnsi="Arial"/>
          <w:color w:val="333333"/>
          <w:kern w:val="0"/>
          <w:lang w:eastAsia="es-CO" w:bidi="ar-SA"/>
        </w:rPr>
      </w:pPr>
    </w:p>
    <w:p w14:paraId="53AFD293" w14:textId="77777777" w:rsidR="00B02D38" w:rsidRPr="00B02D38" w:rsidRDefault="00B02D38" w:rsidP="00B02D38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Arial" w:eastAsia="Times New Roman" w:hAnsi="Arial"/>
          <w:color w:val="333333"/>
          <w:kern w:val="0"/>
          <w:lang w:eastAsia="es-CO" w:bidi="ar-SA"/>
        </w:rPr>
      </w:pPr>
      <w:r w:rsidRPr="00B02D38">
        <w:rPr>
          <w:rFonts w:ascii="Arial" w:eastAsia="Times New Roman" w:hAnsi="Arial"/>
          <w:b/>
          <w:bCs/>
          <w:i/>
          <w:iCs/>
          <w:color w:val="333333"/>
          <w:kern w:val="0"/>
          <w:lang w:eastAsia="es-CO" w:bidi="ar-SA"/>
        </w:rPr>
        <w:lastRenderedPageBreak/>
        <w:t> </w:t>
      </w:r>
    </w:p>
    <w:p w14:paraId="1B2E45D8" w14:textId="77777777" w:rsidR="00B02D38" w:rsidRPr="00B02D38" w:rsidRDefault="00B02D38" w:rsidP="00B02D38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Arial" w:eastAsia="Times New Roman" w:hAnsi="Arial"/>
          <w:color w:val="333333"/>
          <w:kern w:val="0"/>
          <w:lang w:eastAsia="es-CO" w:bidi="ar-S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22"/>
        <w:gridCol w:w="1839"/>
        <w:gridCol w:w="4460"/>
      </w:tblGrid>
      <w:tr w:rsidR="00BF2643" w:rsidRPr="00BF2643" w14:paraId="6C36364E" w14:textId="77777777" w:rsidTr="00BF2643">
        <w:trPr>
          <w:trHeight w:val="300"/>
        </w:trPr>
        <w:tc>
          <w:tcPr>
            <w:tcW w:w="2860" w:type="dxa"/>
            <w:noWrap/>
            <w:hideMark/>
          </w:tcPr>
          <w:p w14:paraId="593A2D49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Edad (es)</w:t>
            </w:r>
          </w:p>
        </w:tc>
        <w:tc>
          <w:tcPr>
            <w:tcW w:w="2000" w:type="dxa"/>
            <w:noWrap/>
            <w:hideMark/>
          </w:tcPr>
          <w:p w14:paraId="27E81DBE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Dosis</w:t>
            </w:r>
          </w:p>
        </w:tc>
        <w:tc>
          <w:tcPr>
            <w:tcW w:w="4880" w:type="dxa"/>
            <w:noWrap/>
            <w:hideMark/>
          </w:tcPr>
          <w:p w14:paraId="0EC9BBCC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Recomendaciones Adicionales</w:t>
            </w:r>
          </w:p>
        </w:tc>
      </w:tr>
      <w:tr w:rsidR="00BF2643" w:rsidRPr="00BF2643" w14:paraId="530C6B37" w14:textId="77777777" w:rsidTr="00BF2643">
        <w:trPr>
          <w:trHeight w:val="285"/>
        </w:trPr>
        <w:tc>
          <w:tcPr>
            <w:tcW w:w="2860" w:type="dxa"/>
            <w:vMerge w:val="restart"/>
            <w:hideMark/>
          </w:tcPr>
          <w:p w14:paraId="76CE4D30" w14:textId="77777777" w:rsid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  <w:p w14:paraId="63741835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Niños de 6 meses a 4 años de edad, sin</w:t>
            </w:r>
            <w:r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 </w:t>
            </w: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vacunación previa y sin antecedentes conocidos de infección</w:t>
            </w:r>
            <w:r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por</w:t>
            </w: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SARS-COV-2</w:t>
            </w:r>
          </w:p>
        </w:tc>
        <w:tc>
          <w:tcPr>
            <w:tcW w:w="2000" w:type="dxa"/>
            <w:vMerge w:val="restart"/>
            <w:hideMark/>
          </w:tcPr>
          <w:p w14:paraId="77D18723" w14:textId="77777777" w:rsid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  <w:p w14:paraId="3C3A3A68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Dos dosis de 0.25 ml cada una, administrada vía intramuscular.</w:t>
            </w:r>
          </w:p>
        </w:tc>
        <w:tc>
          <w:tcPr>
            <w:tcW w:w="4880" w:type="dxa"/>
            <w:vMerge w:val="restart"/>
            <w:hideMark/>
          </w:tcPr>
          <w:p w14:paraId="20DF88D1" w14:textId="77777777" w:rsid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  <w:p w14:paraId="3A907605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Administrar la segunda dosis 28 días después de la primera dosis.                                 Si un niño ha recibido una dosis previa de cualquier vacuna </w:t>
            </w:r>
            <w:proofErr w:type="spellStart"/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spikevax</w:t>
            </w:r>
            <w:proofErr w:type="spellEnd"/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. Se le </w:t>
            </w:r>
            <w:r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</w:t>
            </w: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deberá administrar una dosis de </w:t>
            </w:r>
            <w:proofErr w:type="spellStart"/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Spikevax</w:t>
            </w:r>
            <w:proofErr w:type="spellEnd"/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JN.1 para completar la serie de dos Dosis.</w:t>
            </w:r>
          </w:p>
        </w:tc>
      </w:tr>
      <w:tr w:rsidR="00BF2643" w:rsidRPr="00BF2643" w14:paraId="2E5AEF9A" w14:textId="77777777" w:rsidTr="00BF2643">
        <w:trPr>
          <w:trHeight w:val="285"/>
        </w:trPr>
        <w:tc>
          <w:tcPr>
            <w:tcW w:w="2860" w:type="dxa"/>
            <w:vMerge/>
            <w:hideMark/>
          </w:tcPr>
          <w:p w14:paraId="1E7A0F2C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2000" w:type="dxa"/>
            <w:vMerge/>
            <w:hideMark/>
          </w:tcPr>
          <w:p w14:paraId="4BA4DDEE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4880" w:type="dxa"/>
            <w:vMerge/>
            <w:hideMark/>
          </w:tcPr>
          <w:p w14:paraId="0EE2D03A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</w:tr>
      <w:tr w:rsidR="00BF2643" w:rsidRPr="00BF2643" w14:paraId="5305A283" w14:textId="77777777" w:rsidTr="00BF2643">
        <w:trPr>
          <w:trHeight w:val="285"/>
        </w:trPr>
        <w:tc>
          <w:tcPr>
            <w:tcW w:w="2860" w:type="dxa"/>
            <w:vMerge/>
            <w:hideMark/>
          </w:tcPr>
          <w:p w14:paraId="71A6B910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2000" w:type="dxa"/>
            <w:vMerge/>
            <w:hideMark/>
          </w:tcPr>
          <w:p w14:paraId="24169E04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4880" w:type="dxa"/>
            <w:vMerge/>
            <w:hideMark/>
          </w:tcPr>
          <w:p w14:paraId="12B8B508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</w:tr>
      <w:tr w:rsidR="00BF2643" w:rsidRPr="00BF2643" w14:paraId="4CB3B4CC" w14:textId="77777777" w:rsidTr="00BF2643">
        <w:trPr>
          <w:trHeight w:val="285"/>
        </w:trPr>
        <w:tc>
          <w:tcPr>
            <w:tcW w:w="2860" w:type="dxa"/>
            <w:vMerge/>
            <w:hideMark/>
          </w:tcPr>
          <w:p w14:paraId="1A3854AF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2000" w:type="dxa"/>
            <w:vMerge/>
            <w:hideMark/>
          </w:tcPr>
          <w:p w14:paraId="7E156FEC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4880" w:type="dxa"/>
            <w:vMerge/>
            <w:hideMark/>
          </w:tcPr>
          <w:p w14:paraId="1773B356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</w:tr>
      <w:tr w:rsidR="00BF2643" w:rsidRPr="00BF2643" w14:paraId="4FF03791" w14:textId="77777777" w:rsidTr="00BF2643">
        <w:trPr>
          <w:trHeight w:val="285"/>
        </w:trPr>
        <w:tc>
          <w:tcPr>
            <w:tcW w:w="2860" w:type="dxa"/>
            <w:vMerge/>
            <w:hideMark/>
          </w:tcPr>
          <w:p w14:paraId="252BC5AF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2000" w:type="dxa"/>
            <w:vMerge/>
            <w:hideMark/>
          </w:tcPr>
          <w:p w14:paraId="1B4BA0AB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4880" w:type="dxa"/>
            <w:vMerge/>
            <w:hideMark/>
          </w:tcPr>
          <w:p w14:paraId="3F5F8EA5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</w:tr>
      <w:tr w:rsidR="00BF2643" w:rsidRPr="00BF2643" w14:paraId="24D0AEE0" w14:textId="77777777" w:rsidTr="00BF2643">
        <w:trPr>
          <w:trHeight w:val="735"/>
        </w:trPr>
        <w:tc>
          <w:tcPr>
            <w:tcW w:w="2860" w:type="dxa"/>
            <w:vMerge/>
            <w:hideMark/>
          </w:tcPr>
          <w:p w14:paraId="4D909788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2000" w:type="dxa"/>
            <w:vMerge/>
            <w:hideMark/>
          </w:tcPr>
          <w:p w14:paraId="3F121ECA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4880" w:type="dxa"/>
            <w:vMerge/>
            <w:hideMark/>
          </w:tcPr>
          <w:p w14:paraId="3533F1D1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</w:tr>
      <w:tr w:rsidR="00BF2643" w:rsidRPr="00BF2643" w14:paraId="61D81D48" w14:textId="77777777" w:rsidTr="00BF2643">
        <w:trPr>
          <w:trHeight w:val="300"/>
        </w:trPr>
        <w:tc>
          <w:tcPr>
            <w:tcW w:w="2860" w:type="dxa"/>
            <w:vMerge w:val="restart"/>
            <w:hideMark/>
          </w:tcPr>
          <w:p w14:paraId="74D199F1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Niños de 6 meses a 4 años de edad, con vacunación previa o </w:t>
            </w:r>
            <w:r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 </w:t>
            </w: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antecedentes conocidos de infección por SARS-COV-2</w:t>
            </w:r>
          </w:p>
        </w:tc>
        <w:tc>
          <w:tcPr>
            <w:tcW w:w="2000" w:type="dxa"/>
            <w:vMerge w:val="restart"/>
            <w:hideMark/>
          </w:tcPr>
          <w:p w14:paraId="280BB933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Una dosis de 0.25 ml administrada vía </w:t>
            </w:r>
            <w:r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 </w:t>
            </w: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intramuscular.</w:t>
            </w:r>
          </w:p>
        </w:tc>
        <w:tc>
          <w:tcPr>
            <w:tcW w:w="4880" w:type="dxa"/>
            <w:vMerge w:val="restart"/>
            <w:hideMark/>
          </w:tcPr>
          <w:p w14:paraId="64CC9CBC" w14:textId="77777777" w:rsidR="00BF2643" w:rsidRDefault="00BF2643" w:rsidP="00BF2643">
            <w:pPr>
              <w:widowControl/>
              <w:shd w:val="clear" w:color="auto" w:fill="FFFFFF"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  <w:p w14:paraId="18A5D5E1" w14:textId="77777777" w:rsidR="00BF2643" w:rsidRDefault="00BF2643" w:rsidP="00BF2643">
            <w:pPr>
              <w:widowControl/>
              <w:shd w:val="clear" w:color="auto" w:fill="FFFFFF"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  <w:p w14:paraId="2D0ADCB3" w14:textId="77777777" w:rsidR="00BF2643" w:rsidRDefault="00BF2643" w:rsidP="00BF2643">
            <w:pPr>
              <w:widowControl/>
              <w:shd w:val="clear" w:color="auto" w:fill="FFFFFF"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  <w:p w14:paraId="14C18F34" w14:textId="77777777" w:rsidR="00BF2643" w:rsidRDefault="00BF2643" w:rsidP="00BF2643">
            <w:pPr>
              <w:widowControl/>
              <w:shd w:val="clear" w:color="auto" w:fill="FFFFFF"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  <w:p w14:paraId="609F7F00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jc w:val="center"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proofErr w:type="spellStart"/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Spikevax</w:t>
            </w:r>
            <w:proofErr w:type="spellEnd"/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JN1. debe Ad</w:t>
            </w:r>
            <w:r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ministrarse como mínimo 5 meses</w:t>
            </w: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después de la dosis más reciente de una vacuna de COVID-19</w:t>
            </w:r>
          </w:p>
        </w:tc>
      </w:tr>
      <w:tr w:rsidR="00BF2643" w:rsidRPr="00BF2643" w14:paraId="4CD08213" w14:textId="77777777" w:rsidTr="00BF2643">
        <w:trPr>
          <w:trHeight w:val="300"/>
        </w:trPr>
        <w:tc>
          <w:tcPr>
            <w:tcW w:w="2860" w:type="dxa"/>
            <w:vMerge/>
            <w:hideMark/>
          </w:tcPr>
          <w:p w14:paraId="3AE83DC8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2000" w:type="dxa"/>
            <w:vMerge/>
            <w:hideMark/>
          </w:tcPr>
          <w:p w14:paraId="7A96E756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4880" w:type="dxa"/>
            <w:vMerge/>
            <w:hideMark/>
          </w:tcPr>
          <w:p w14:paraId="0A35CB9A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</w:tr>
      <w:tr w:rsidR="00BF2643" w:rsidRPr="00BF2643" w14:paraId="5FB99556" w14:textId="77777777" w:rsidTr="00BF2643">
        <w:trPr>
          <w:trHeight w:val="300"/>
        </w:trPr>
        <w:tc>
          <w:tcPr>
            <w:tcW w:w="2860" w:type="dxa"/>
            <w:vMerge/>
            <w:hideMark/>
          </w:tcPr>
          <w:p w14:paraId="761AF667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2000" w:type="dxa"/>
            <w:vMerge/>
            <w:hideMark/>
          </w:tcPr>
          <w:p w14:paraId="036BD604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4880" w:type="dxa"/>
            <w:vMerge/>
            <w:hideMark/>
          </w:tcPr>
          <w:p w14:paraId="5AFE1006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</w:tr>
      <w:tr w:rsidR="00BF2643" w:rsidRPr="00BF2643" w14:paraId="4180A0FB" w14:textId="77777777" w:rsidTr="00BF2643">
        <w:trPr>
          <w:trHeight w:val="600"/>
        </w:trPr>
        <w:tc>
          <w:tcPr>
            <w:tcW w:w="2860" w:type="dxa"/>
            <w:vMerge/>
            <w:hideMark/>
          </w:tcPr>
          <w:p w14:paraId="6DA2F84E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2000" w:type="dxa"/>
            <w:vMerge w:val="restart"/>
            <w:hideMark/>
          </w:tcPr>
          <w:p w14:paraId="201CB00A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Una dosis de 0.25ml, </w:t>
            </w:r>
            <w:r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      </w:t>
            </w: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administrada vía</w:t>
            </w:r>
            <w:r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</w:t>
            </w: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intramuscular.</w:t>
            </w:r>
          </w:p>
        </w:tc>
        <w:tc>
          <w:tcPr>
            <w:tcW w:w="4880" w:type="dxa"/>
            <w:vMerge/>
            <w:hideMark/>
          </w:tcPr>
          <w:p w14:paraId="079A3219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</w:tr>
      <w:tr w:rsidR="00BF2643" w:rsidRPr="00BF2643" w14:paraId="21C34B38" w14:textId="77777777" w:rsidTr="00BF2643">
        <w:trPr>
          <w:trHeight w:val="300"/>
        </w:trPr>
        <w:tc>
          <w:tcPr>
            <w:tcW w:w="2860" w:type="dxa"/>
            <w:vMerge w:val="restart"/>
            <w:hideMark/>
          </w:tcPr>
          <w:p w14:paraId="7EAC83FD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Niños de 5 a 11 años de edad, con o</w:t>
            </w:r>
            <w:r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 </w:t>
            </w: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sin vacunación previa.</w:t>
            </w:r>
          </w:p>
        </w:tc>
        <w:tc>
          <w:tcPr>
            <w:tcW w:w="2000" w:type="dxa"/>
            <w:vMerge/>
            <w:hideMark/>
          </w:tcPr>
          <w:p w14:paraId="3B5073B3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4880" w:type="dxa"/>
            <w:vMerge/>
            <w:hideMark/>
          </w:tcPr>
          <w:p w14:paraId="18737E5C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</w:tr>
      <w:tr w:rsidR="00BF2643" w:rsidRPr="00BF2643" w14:paraId="0025D86F" w14:textId="77777777" w:rsidTr="00BF2643">
        <w:trPr>
          <w:trHeight w:val="540"/>
        </w:trPr>
        <w:tc>
          <w:tcPr>
            <w:tcW w:w="2860" w:type="dxa"/>
            <w:vMerge/>
            <w:hideMark/>
          </w:tcPr>
          <w:p w14:paraId="5C2954DF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2000" w:type="dxa"/>
            <w:vMerge/>
            <w:hideMark/>
          </w:tcPr>
          <w:p w14:paraId="38A9CB53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4880" w:type="dxa"/>
            <w:vMerge/>
            <w:hideMark/>
          </w:tcPr>
          <w:p w14:paraId="64EA0099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</w:tr>
      <w:tr w:rsidR="00BF2643" w:rsidRPr="00BF2643" w14:paraId="18AF71CE" w14:textId="77777777" w:rsidTr="00BF2643">
        <w:trPr>
          <w:trHeight w:val="300"/>
        </w:trPr>
        <w:tc>
          <w:tcPr>
            <w:tcW w:w="2860" w:type="dxa"/>
            <w:vMerge/>
            <w:hideMark/>
          </w:tcPr>
          <w:p w14:paraId="46ECCE8D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2000" w:type="dxa"/>
            <w:vMerge w:val="restart"/>
            <w:hideMark/>
          </w:tcPr>
          <w:p w14:paraId="05BCC1DB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Una dosis de 0.25ml administrada vía</w:t>
            </w:r>
            <w:r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</w:t>
            </w: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intramuscular.</w:t>
            </w:r>
          </w:p>
        </w:tc>
        <w:tc>
          <w:tcPr>
            <w:tcW w:w="4880" w:type="dxa"/>
            <w:vMerge/>
            <w:hideMark/>
          </w:tcPr>
          <w:p w14:paraId="3565AD20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</w:tr>
      <w:tr w:rsidR="00BF2643" w:rsidRPr="00BF2643" w14:paraId="35AE417E" w14:textId="77777777" w:rsidTr="00BF2643">
        <w:trPr>
          <w:trHeight w:val="900"/>
        </w:trPr>
        <w:tc>
          <w:tcPr>
            <w:tcW w:w="2860" w:type="dxa"/>
            <w:hideMark/>
          </w:tcPr>
          <w:p w14:paraId="1DADA2C3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>P</w:t>
            </w:r>
            <w:r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ersonas de 12 años de edad con            </w:t>
            </w:r>
            <w:r w:rsidRPr="00BF2643"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  <w:t xml:space="preserve"> vacunación previa.</w:t>
            </w:r>
          </w:p>
        </w:tc>
        <w:tc>
          <w:tcPr>
            <w:tcW w:w="2000" w:type="dxa"/>
            <w:vMerge/>
            <w:hideMark/>
          </w:tcPr>
          <w:p w14:paraId="2949CBC9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  <w:tc>
          <w:tcPr>
            <w:tcW w:w="4880" w:type="dxa"/>
            <w:vMerge/>
            <w:hideMark/>
          </w:tcPr>
          <w:p w14:paraId="0F1BB9A9" w14:textId="77777777" w:rsidR="00BF2643" w:rsidRPr="00BF2643" w:rsidRDefault="00BF2643" w:rsidP="00BF2643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ascii="Arial" w:eastAsia="Times New Roman" w:hAnsi="Arial"/>
                <w:color w:val="333333"/>
                <w:kern w:val="0"/>
                <w:lang w:eastAsia="es-CO" w:bidi="ar-SA"/>
              </w:rPr>
            </w:pPr>
          </w:p>
        </w:tc>
      </w:tr>
    </w:tbl>
    <w:p w14:paraId="791341FB" w14:textId="77777777" w:rsidR="00B02D38" w:rsidRPr="00B02D38" w:rsidRDefault="00B02D38" w:rsidP="00BF2643">
      <w:pPr>
        <w:widowControl/>
        <w:shd w:val="clear" w:color="auto" w:fill="FFFFFF"/>
        <w:suppressAutoHyphens w:val="0"/>
        <w:autoSpaceDN/>
        <w:textAlignment w:val="auto"/>
        <w:rPr>
          <w:rFonts w:ascii="Arial" w:eastAsia="Times New Roman" w:hAnsi="Arial"/>
          <w:color w:val="333333"/>
          <w:kern w:val="0"/>
          <w:lang w:eastAsia="es-CO" w:bidi="ar-SA"/>
        </w:rPr>
      </w:pPr>
    </w:p>
    <w:p w14:paraId="72D737C3" w14:textId="77777777" w:rsidR="00B037A3" w:rsidRDefault="00B037A3" w:rsidP="00B037A3">
      <w:pPr>
        <w:shd w:val="clear" w:color="auto" w:fill="FFFFFF"/>
        <w:rPr>
          <w:rFonts w:ascii="Arial" w:eastAsia="Times New Roman" w:hAnsi="Arial"/>
          <w:color w:val="333333"/>
          <w:kern w:val="0"/>
          <w:lang w:eastAsia="es-CO" w:bidi="ar-SA"/>
        </w:rPr>
      </w:pPr>
    </w:p>
    <w:p w14:paraId="45831E2A" w14:textId="77777777" w:rsidR="00B037A3" w:rsidRDefault="00B037A3" w:rsidP="00B037A3">
      <w:pPr>
        <w:shd w:val="clear" w:color="auto" w:fill="FFFFFF"/>
        <w:rPr>
          <w:rFonts w:ascii="Arial" w:eastAsia="Times New Roman" w:hAnsi="Arial"/>
          <w:color w:val="333333"/>
          <w:kern w:val="0"/>
          <w:lang w:eastAsia="es-CO" w:bidi="ar-SA"/>
        </w:rPr>
      </w:pPr>
    </w:p>
    <w:p w14:paraId="52290181" w14:textId="77777777" w:rsidR="00B037A3" w:rsidRDefault="00B037A3" w:rsidP="00B037A3">
      <w:pPr>
        <w:shd w:val="clear" w:color="auto" w:fill="FFFFFF"/>
        <w:rPr>
          <w:rFonts w:ascii="Arial" w:eastAsia="Times New Roman" w:hAnsi="Arial"/>
          <w:color w:val="333333"/>
          <w:kern w:val="0"/>
          <w:lang w:eastAsia="es-CO" w:bidi="ar-SA"/>
        </w:rPr>
      </w:pPr>
    </w:p>
    <w:p w14:paraId="0A2BA050" w14:textId="77777777" w:rsidR="00B037A3" w:rsidRPr="00B037A3" w:rsidRDefault="00B037A3" w:rsidP="00B037A3">
      <w:pPr>
        <w:shd w:val="clear" w:color="auto" w:fill="FFFFFF"/>
        <w:rPr>
          <w:rFonts w:ascii="Arial" w:eastAsia="Times New Roman" w:hAnsi="Arial"/>
          <w:color w:val="000000"/>
          <w:lang w:eastAsia="es-CO"/>
        </w:rPr>
      </w:pPr>
      <w:r w:rsidRPr="00B037A3">
        <w:rPr>
          <w:rFonts w:ascii="Arial" w:eastAsia="Times New Roman" w:hAnsi="Arial"/>
          <w:color w:val="333333"/>
          <w:kern w:val="0"/>
          <w:lang w:eastAsia="es-CO" w:bidi="ar-SA"/>
        </w:rPr>
        <w:t xml:space="preserve">Se recuerda seguir el lineamiento propuesto por el Ministerio de Salud </w:t>
      </w:r>
      <w:r w:rsidRPr="00B037A3">
        <w:rPr>
          <w:rFonts w:ascii="Arial" w:eastAsia="Times New Roman" w:hAnsi="Arial"/>
          <w:color w:val="000000"/>
          <w:lang w:eastAsia="es-CO"/>
        </w:rPr>
        <w:t>Para esta población el esquema es:</w:t>
      </w:r>
    </w:p>
    <w:p w14:paraId="46B1C67F" w14:textId="77777777" w:rsidR="00B037A3" w:rsidRPr="00B037A3" w:rsidRDefault="00B037A3" w:rsidP="00B037A3">
      <w:pPr>
        <w:shd w:val="clear" w:color="auto" w:fill="FFFFFF"/>
        <w:rPr>
          <w:rFonts w:ascii="Arial" w:eastAsia="Times New Roman" w:hAnsi="Arial"/>
          <w:color w:val="000000"/>
          <w:lang w:eastAsia="es-CO"/>
        </w:rPr>
      </w:pPr>
    </w:p>
    <w:p w14:paraId="2D18E123" w14:textId="77777777" w:rsidR="00B037A3" w:rsidRPr="00B037A3" w:rsidRDefault="00B037A3" w:rsidP="00B037A3">
      <w:pPr>
        <w:widowControl/>
        <w:numPr>
          <w:ilvl w:val="0"/>
          <w:numId w:val="1"/>
        </w:numPr>
        <w:shd w:val="clear" w:color="auto" w:fill="FFFFFF"/>
        <w:suppressAutoHyphens w:val="0"/>
        <w:autoSpaceDN/>
        <w:spacing w:before="100" w:beforeAutospacing="1" w:after="100" w:afterAutospacing="1"/>
        <w:ind w:left="945"/>
        <w:textAlignment w:val="auto"/>
        <w:rPr>
          <w:rFonts w:ascii="Arial" w:eastAsia="Times New Roman" w:hAnsi="Arial"/>
          <w:color w:val="000000"/>
          <w:lang w:eastAsia="es-CO"/>
        </w:rPr>
      </w:pPr>
      <w:proofErr w:type="spellStart"/>
      <w:r w:rsidRPr="00B037A3">
        <w:rPr>
          <w:rFonts w:ascii="Arial" w:eastAsia="Times New Roman" w:hAnsi="Arial"/>
          <w:color w:val="000000"/>
          <w:lang w:eastAsia="es-CO"/>
        </w:rPr>
        <w:t>Niñ@s</w:t>
      </w:r>
      <w:proofErr w:type="spellEnd"/>
      <w:r w:rsidRPr="00B037A3">
        <w:rPr>
          <w:rFonts w:ascii="Arial" w:eastAsia="Times New Roman" w:hAnsi="Arial"/>
          <w:color w:val="000000"/>
          <w:lang w:eastAsia="es-CO"/>
        </w:rPr>
        <w:t xml:space="preserve"> de 6 meses a 4 años, 11 meses y 29 días, esquema de 2 dosis de 0.25 ml con intervalo de 28 días.</w:t>
      </w:r>
    </w:p>
    <w:p w14:paraId="2E81BDE1" w14:textId="77777777" w:rsidR="00B037A3" w:rsidRDefault="00B037A3" w:rsidP="00B037A3">
      <w:pPr>
        <w:widowControl/>
        <w:numPr>
          <w:ilvl w:val="0"/>
          <w:numId w:val="1"/>
        </w:numPr>
        <w:shd w:val="clear" w:color="auto" w:fill="FFFFFF"/>
        <w:suppressAutoHyphens w:val="0"/>
        <w:autoSpaceDN/>
        <w:spacing w:before="100" w:beforeAutospacing="1" w:after="100" w:afterAutospacing="1"/>
        <w:ind w:left="945"/>
        <w:textAlignment w:val="auto"/>
        <w:rPr>
          <w:rFonts w:ascii="Arial" w:eastAsia="Times New Roman" w:hAnsi="Arial"/>
          <w:color w:val="000000"/>
          <w:lang w:eastAsia="es-CO"/>
        </w:rPr>
      </w:pPr>
      <w:proofErr w:type="spellStart"/>
      <w:r w:rsidRPr="00B037A3">
        <w:rPr>
          <w:rFonts w:ascii="Arial" w:eastAsia="Times New Roman" w:hAnsi="Arial"/>
          <w:color w:val="000000"/>
          <w:lang w:eastAsia="es-CO"/>
        </w:rPr>
        <w:t>Niñ@s</w:t>
      </w:r>
      <w:proofErr w:type="spellEnd"/>
      <w:r w:rsidRPr="00B037A3">
        <w:rPr>
          <w:rFonts w:ascii="Arial" w:eastAsia="Times New Roman" w:hAnsi="Arial"/>
          <w:color w:val="000000"/>
          <w:lang w:eastAsia="es-CO"/>
        </w:rPr>
        <w:t xml:space="preserve"> de 5 años a 11 años, 11 meses y 29 días, esquema de una dosis de 0,25 ml. </w:t>
      </w:r>
    </w:p>
    <w:p w14:paraId="425E2320" w14:textId="77777777" w:rsidR="00C3207C" w:rsidRPr="00B037A3" w:rsidRDefault="00C3207C" w:rsidP="00B037A3">
      <w:pPr>
        <w:widowControl/>
        <w:numPr>
          <w:ilvl w:val="0"/>
          <w:numId w:val="1"/>
        </w:numPr>
        <w:shd w:val="clear" w:color="auto" w:fill="FFFFFF"/>
        <w:suppressAutoHyphens w:val="0"/>
        <w:autoSpaceDN/>
        <w:spacing w:before="100" w:beforeAutospacing="1" w:after="100" w:afterAutospacing="1"/>
        <w:ind w:left="945"/>
        <w:textAlignment w:val="auto"/>
        <w:rPr>
          <w:rFonts w:ascii="Arial" w:eastAsia="Times New Roman" w:hAnsi="Arial"/>
          <w:color w:val="000000"/>
          <w:lang w:eastAsia="es-CO"/>
        </w:rPr>
      </w:pPr>
      <w:r>
        <w:rPr>
          <w:rFonts w:ascii="Arial" w:eastAsia="Times New Roman" w:hAnsi="Arial"/>
          <w:color w:val="000000"/>
          <w:lang w:eastAsia="es-CO"/>
        </w:rPr>
        <w:lastRenderedPageBreak/>
        <w:t>Todo aquel que tenga prescripción medica, se le debe administrar el     biológico.</w:t>
      </w:r>
    </w:p>
    <w:p w14:paraId="307659EB" w14:textId="77777777" w:rsidR="00B037A3" w:rsidRPr="00B02D38" w:rsidRDefault="00B037A3" w:rsidP="00B037A3">
      <w:pPr>
        <w:widowControl/>
        <w:shd w:val="clear" w:color="auto" w:fill="FFFFFF"/>
        <w:suppressAutoHyphens w:val="0"/>
        <w:autoSpaceDN/>
        <w:textAlignment w:val="auto"/>
        <w:rPr>
          <w:rFonts w:ascii="Arial" w:eastAsia="Times New Roman" w:hAnsi="Arial"/>
          <w:color w:val="333333"/>
          <w:kern w:val="0"/>
          <w:lang w:eastAsia="es-CO" w:bidi="ar-SA"/>
        </w:rPr>
      </w:pPr>
    </w:p>
    <w:p w14:paraId="4764574D" w14:textId="77777777" w:rsidR="00017147" w:rsidRPr="00B037A3" w:rsidRDefault="00893E49">
      <w:pPr>
        <w:jc w:val="both"/>
        <w:rPr>
          <w:rFonts w:ascii="Arial" w:hAnsi="Arial"/>
        </w:rPr>
      </w:pPr>
      <w:r w:rsidRPr="00B037A3">
        <w:rPr>
          <w:rFonts w:ascii="Arial" w:hAnsi="Arial"/>
        </w:rPr>
        <w:t xml:space="preserve">Comedidamente se </w:t>
      </w:r>
      <w:r w:rsidR="00DD7E45" w:rsidRPr="00B037A3">
        <w:rPr>
          <w:rFonts w:ascii="Arial" w:hAnsi="Arial"/>
        </w:rPr>
        <w:t>solicitará</w:t>
      </w:r>
      <w:r w:rsidRPr="00B037A3">
        <w:rPr>
          <w:rFonts w:ascii="Arial" w:hAnsi="Arial"/>
        </w:rPr>
        <w:t xml:space="preserve"> acercarse a las Instalaciones del Centro de Acopio de la Secretaría de Salud Distrital de</w:t>
      </w:r>
      <w:r w:rsidR="00B037A3">
        <w:rPr>
          <w:rFonts w:ascii="Arial" w:hAnsi="Arial"/>
        </w:rPr>
        <w:t xml:space="preserve"> Cali de acuerdo a la distribución se confirmará el día, para las</w:t>
      </w:r>
      <w:r w:rsidR="00DD7E45" w:rsidRPr="00B037A3">
        <w:rPr>
          <w:rFonts w:ascii="Arial" w:hAnsi="Arial"/>
        </w:rPr>
        <w:t xml:space="preserve"> entregas, </w:t>
      </w:r>
      <w:r w:rsidR="00B037A3">
        <w:rPr>
          <w:rFonts w:ascii="Arial" w:hAnsi="Arial"/>
        </w:rPr>
        <w:t>d</w:t>
      </w:r>
      <w:r w:rsidR="00DD7E45" w:rsidRPr="00B037A3">
        <w:rPr>
          <w:rFonts w:ascii="Arial" w:hAnsi="Arial"/>
        </w:rPr>
        <w:t>el biológico</w:t>
      </w:r>
      <w:r w:rsidR="00B037A3">
        <w:rPr>
          <w:rFonts w:ascii="Arial" w:hAnsi="Arial"/>
        </w:rPr>
        <w:t xml:space="preserve">, el biológico </w:t>
      </w:r>
      <w:r w:rsidRPr="00B037A3">
        <w:rPr>
          <w:rFonts w:ascii="Arial" w:hAnsi="Arial"/>
        </w:rPr>
        <w:t>se entregará descongelado y tiene un vencimiento por cadena de frío de 30 días d</w:t>
      </w:r>
      <w:r w:rsidR="00EB08D2" w:rsidRPr="00B037A3">
        <w:rPr>
          <w:rFonts w:ascii="Arial" w:hAnsi="Arial"/>
        </w:rPr>
        <w:t>esde la fecha de descongelación.</w:t>
      </w:r>
    </w:p>
    <w:p w14:paraId="6F75F106" w14:textId="77777777" w:rsidR="00017147" w:rsidRPr="00B037A3" w:rsidRDefault="00017147">
      <w:pPr>
        <w:rPr>
          <w:rFonts w:ascii="Arial" w:hAnsi="Arial"/>
          <w:b/>
        </w:rPr>
      </w:pPr>
    </w:p>
    <w:p w14:paraId="1AAC5B08" w14:textId="77777777" w:rsidR="00017147" w:rsidRPr="00B037A3" w:rsidRDefault="00893E49">
      <w:pPr>
        <w:jc w:val="both"/>
        <w:rPr>
          <w:rFonts w:ascii="Arial" w:hAnsi="Arial"/>
        </w:rPr>
      </w:pPr>
      <w:r w:rsidRPr="00B037A3">
        <w:rPr>
          <w:rFonts w:ascii="Arial" w:hAnsi="Arial"/>
        </w:rPr>
        <w:t>Por último, se sugiere que dispongan de toda la logística necesaria para garantizar el cumplimiento de los lineamientos de cadena de frío lineados por el PAI.</w:t>
      </w:r>
    </w:p>
    <w:p w14:paraId="612D1274" w14:textId="77777777" w:rsidR="00017147" w:rsidRPr="00B037A3" w:rsidRDefault="00017147">
      <w:pPr>
        <w:jc w:val="both"/>
        <w:rPr>
          <w:rFonts w:ascii="Arial" w:hAnsi="Arial"/>
        </w:rPr>
      </w:pPr>
    </w:p>
    <w:p w14:paraId="1929D019" w14:textId="77777777" w:rsidR="00017147" w:rsidRPr="00B037A3" w:rsidRDefault="00893E49">
      <w:pPr>
        <w:jc w:val="both"/>
        <w:rPr>
          <w:rFonts w:ascii="Arial" w:hAnsi="Arial"/>
        </w:rPr>
      </w:pPr>
      <w:r w:rsidRPr="00B037A3">
        <w:rPr>
          <w:rFonts w:ascii="Arial" w:hAnsi="Arial"/>
        </w:rPr>
        <w:t>Cordialmente,</w:t>
      </w:r>
    </w:p>
    <w:p w14:paraId="74210E65" w14:textId="77777777" w:rsidR="00017147" w:rsidRPr="00B037A3" w:rsidRDefault="00017147">
      <w:pPr>
        <w:jc w:val="both"/>
        <w:rPr>
          <w:rFonts w:ascii="Arial" w:hAnsi="Arial"/>
        </w:rPr>
      </w:pPr>
    </w:p>
    <w:p w14:paraId="33322530" w14:textId="77777777" w:rsidR="00017147" w:rsidRPr="00B037A3" w:rsidRDefault="00017147">
      <w:pPr>
        <w:jc w:val="both"/>
        <w:rPr>
          <w:rFonts w:ascii="Arial" w:hAnsi="Arial"/>
        </w:rPr>
      </w:pPr>
    </w:p>
    <w:p w14:paraId="25C97CE1" w14:textId="77777777" w:rsidR="00017147" w:rsidRPr="00B037A3" w:rsidRDefault="00893E49">
      <w:pPr>
        <w:jc w:val="both"/>
        <w:rPr>
          <w:rFonts w:ascii="Arial" w:hAnsi="Arial"/>
        </w:rPr>
      </w:pPr>
      <w:r w:rsidRPr="00B037A3">
        <w:rPr>
          <w:rFonts w:ascii="Arial" w:hAnsi="Arial"/>
        </w:rPr>
        <w:t>CARLOS EDUARDO PINZÓN FLOREZ</w:t>
      </w:r>
    </w:p>
    <w:p w14:paraId="3DC8806E" w14:textId="77777777" w:rsidR="00017147" w:rsidRPr="00B037A3" w:rsidRDefault="00893E49">
      <w:pPr>
        <w:jc w:val="both"/>
        <w:rPr>
          <w:rFonts w:ascii="Arial" w:hAnsi="Arial"/>
        </w:rPr>
      </w:pPr>
      <w:r w:rsidRPr="00B037A3">
        <w:rPr>
          <w:rFonts w:ascii="Arial" w:hAnsi="Arial"/>
        </w:rPr>
        <w:t>Subsecretario de Promoción, Prevención y Producción Social de la salud</w:t>
      </w:r>
    </w:p>
    <w:p w14:paraId="4FF3DABF" w14:textId="77777777" w:rsidR="00017147" w:rsidRPr="00B037A3" w:rsidRDefault="00893E49">
      <w:pPr>
        <w:jc w:val="both"/>
        <w:rPr>
          <w:rFonts w:ascii="Arial" w:hAnsi="Arial"/>
        </w:rPr>
      </w:pPr>
      <w:r w:rsidRPr="00B037A3">
        <w:rPr>
          <w:rFonts w:ascii="Arial" w:hAnsi="Arial"/>
        </w:rPr>
        <w:t>Secretaria de Salud del Distrito Especial de Santiago de Cali</w:t>
      </w:r>
    </w:p>
    <w:p w14:paraId="591BA29C" w14:textId="77777777" w:rsidR="00017147" w:rsidRPr="00B037A3" w:rsidRDefault="00017147">
      <w:pPr>
        <w:rPr>
          <w:rFonts w:ascii="Arial" w:hAnsi="Arial"/>
        </w:rPr>
      </w:pPr>
    </w:p>
    <w:p w14:paraId="143A109E" w14:textId="51715AC6" w:rsidR="00017147" w:rsidRPr="00B037A3" w:rsidRDefault="00893E49">
      <w:pPr>
        <w:pStyle w:val="Standard"/>
        <w:rPr>
          <w:rFonts w:ascii="Arial" w:hAnsi="Arial" w:cs="Arial"/>
        </w:rPr>
      </w:pPr>
      <w:r w:rsidRPr="00B037A3">
        <w:rPr>
          <w:rFonts w:ascii="Arial" w:hAnsi="Arial" w:cs="Arial"/>
        </w:rPr>
        <w:t xml:space="preserve">Proyecto, reviso y elaboro: </w:t>
      </w:r>
      <w:r w:rsidR="00BD6BCD">
        <w:rPr>
          <w:rFonts w:ascii="Arial" w:hAnsi="Arial" w:cs="Arial"/>
        </w:rPr>
        <w:t>Yadira Alexandra Romero</w:t>
      </w:r>
      <w:r w:rsidRPr="00B037A3">
        <w:rPr>
          <w:rFonts w:ascii="Arial" w:hAnsi="Arial" w:cs="Arial"/>
        </w:rPr>
        <w:t xml:space="preserve"> – </w:t>
      </w:r>
      <w:r w:rsidR="00BD6BCD">
        <w:rPr>
          <w:rFonts w:ascii="Arial" w:hAnsi="Arial" w:cs="Arial"/>
        </w:rPr>
        <w:t>Coordinadora PAI</w:t>
      </w:r>
      <w:r w:rsidRPr="00B037A3">
        <w:rPr>
          <w:rFonts w:ascii="Arial" w:hAnsi="Arial" w:cs="Arial"/>
        </w:rPr>
        <w:t xml:space="preserve"> </w:t>
      </w:r>
    </w:p>
    <w:sectPr w:rsidR="00017147" w:rsidRPr="00B037A3">
      <w:headerReference w:type="default" r:id="rId7"/>
      <w:footerReference w:type="default" r:id="rId8"/>
      <w:pgSz w:w="12240" w:h="15840"/>
      <w:pgMar w:top="1701" w:right="1608" w:bottom="1701" w:left="1701" w:header="1418" w:footer="9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87B8F" w14:textId="77777777" w:rsidR="001F7BAD" w:rsidRDefault="001F7BAD">
      <w:r>
        <w:separator/>
      </w:r>
    </w:p>
  </w:endnote>
  <w:endnote w:type="continuationSeparator" w:id="0">
    <w:p w14:paraId="199986A5" w14:textId="77777777" w:rsidR="001F7BAD" w:rsidRDefault="001F7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6DED" w14:textId="77777777" w:rsidR="00D254A1" w:rsidRDefault="00893E49">
    <w:pPr>
      <w:pStyle w:val="Piedepgina"/>
      <w:jc w:val="center"/>
    </w:pPr>
    <w:r>
      <w:rPr>
        <w:rFonts w:ascii="Arial" w:hAnsi="Arial"/>
        <w:noProof/>
        <w:sz w:val="19"/>
        <w:szCs w:val="19"/>
        <w:lang w:eastAsia="es-CO"/>
      </w:rPr>
      <w:drawing>
        <wp:anchor distT="0" distB="0" distL="114300" distR="114300" simplePos="0" relativeHeight="251661312" behindDoc="0" locked="0" layoutInCell="1" allowOverlap="1" wp14:anchorId="1B04E2CA" wp14:editId="257D2CC9">
          <wp:simplePos x="0" y="0"/>
          <wp:positionH relativeFrom="column">
            <wp:posOffset>475616</wp:posOffset>
          </wp:positionH>
          <wp:positionV relativeFrom="margin">
            <wp:posOffset>6663690</wp:posOffset>
          </wp:positionV>
          <wp:extent cx="752478" cy="712473"/>
          <wp:effectExtent l="0" t="0" r="9522" b="0"/>
          <wp:wrapNone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24" t="-26" r="-24" b="-26"/>
                  <a:stretch>
                    <a:fillRect/>
                  </a:stretch>
                </pic:blipFill>
                <pic:spPr>
                  <a:xfrm>
                    <a:off x="0" y="0"/>
                    <a:ext cx="752478" cy="712473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Arial" w:hAnsi="Arial"/>
        <w:noProof/>
        <w:sz w:val="19"/>
        <w:szCs w:val="19"/>
        <w:lang w:eastAsia="es-CO"/>
      </w:rPr>
      <w:drawing>
        <wp:anchor distT="0" distB="0" distL="114300" distR="114300" simplePos="0" relativeHeight="251660288" behindDoc="1" locked="0" layoutInCell="1" allowOverlap="1" wp14:anchorId="4E2BE6D9" wp14:editId="0543E5C8">
          <wp:simplePos x="0" y="0"/>
          <wp:positionH relativeFrom="column">
            <wp:posOffset>-257805</wp:posOffset>
          </wp:positionH>
          <wp:positionV relativeFrom="margin">
            <wp:posOffset>6634484</wp:posOffset>
          </wp:positionV>
          <wp:extent cx="593729" cy="761366"/>
          <wp:effectExtent l="0" t="0" r="0" b="634"/>
          <wp:wrapNone/>
          <wp:docPr id="3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 l="-52" t="-37" r="-52" b="-37"/>
                  <a:stretch>
                    <a:fillRect/>
                  </a:stretch>
                </pic:blipFill>
                <pic:spPr>
                  <a:xfrm>
                    <a:off x="0" y="0"/>
                    <a:ext cx="593729" cy="76136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Arial" w:hAnsi="Arial"/>
        <w:sz w:val="19"/>
        <w:szCs w:val="19"/>
      </w:rPr>
      <w:t xml:space="preserve">      </w:t>
    </w:r>
  </w:p>
  <w:p w14:paraId="246BFD15" w14:textId="77777777" w:rsidR="00D254A1" w:rsidRDefault="00893E49">
    <w:pPr>
      <w:pStyle w:val="Piedepgina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 xml:space="preserve">                                                       Calle 4ª B # 36-00 San Fernando Cali</w:t>
    </w:r>
  </w:p>
  <w:p w14:paraId="5DD8DC41" w14:textId="77777777" w:rsidR="00D254A1" w:rsidRDefault="00893E49">
    <w:pPr>
      <w:pStyle w:val="Piedepgina"/>
      <w:jc w:val="center"/>
    </w:pPr>
    <w:r>
      <w:rPr>
        <w:rFonts w:ascii="Arial" w:hAnsi="Arial"/>
        <w:noProof/>
        <w:sz w:val="19"/>
        <w:szCs w:val="19"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8D2E00F" wp14:editId="6CEA4DFA">
              <wp:simplePos x="0" y="0"/>
              <wp:positionH relativeFrom="margin">
                <wp:posOffset>0</wp:posOffset>
              </wp:positionH>
              <wp:positionV relativeFrom="paragraph">
                <wp:posOffset>913769</wp:posOffset>
              </wp:positionV>
              <wp:extent cx="1343025" cy="266703"/>
              <wp:effectExtent l="0" t="0" r="28575" b="19047"/>
              <wp:wrapSquare wrapText="bothSides"/>
              <wp:docPr id="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26670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>
                        <a:solidFill>
                          <a:srgbClr val="FFFFFF"/>
                        </a:solidFill>
                        <a:prstDash val="solid"/>
                      </a:ln>
                    </wps:spPr>
                    <wps:txbx>
                      <w:txbxContent>
                        <w:p w14:paraId="233454EC" w14:textId="77777777" w:rsidR="00D254A1" w:rsidRDefault="00893E49"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  <w:t>CO-SC-CER437981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0;margin-top:71.95pt;width:105.75pt;height:21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" strokecolor="white" strokeweight=".26467mm">
              <v:textbox>
                <w:txbxContent>
                  <w:p w:rsidR="00D254A1" w:rsidRDefault="00893E49">
                    <w:r>
                      <w:rPr>
                        <w:rFonts w:ascii="Arial Narrow" w:hAnsi="Arial Narrow"/>
                        <w:sz w:val="16"/>
                        <w:szCs w:val="16"/>
                      </w:rPr>
                      <w:t>CO-SC-CER437981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hyperlink r:id="rId3" w:history="1">
      <w:r>
        <w:rPr>
          <w:rStyle w:val="Hipervnculo"/>
          <w:rFonts w:ascii="Arial" w:hAnsi="Arial"/>
          <w:sz w:val="19"/>
          <w:szCs w:val="19"/>
        </w:rPr>
        <w:t>www.cali,gov.co</w:t>
      </w:r>
    </w:hyperlink>
    <w:r>
      <w:rPr>
        <w:rFonts w:ascii="Arial" w:hAnsi="Arial"/>
        <w:sz w:val="19"/>
        <w:szCs w:val="19"/>
      </w:rPr>
      <w:t xml:space="preserve"> /salud</w:t>
    </w:r>
  </w:p>
  <w:p w14:paraId="63868A58" w14:textId="77777777" w:rsidR="00D254A1" w:rsidRDefault="00893E49">
    <w:pPr>
      <w:pStyle w:val="Piedepgina"/>
    </w:pPr>
    <w:r>
      <w:rPr>
        <w:rFonts w:ascii="Arial" w:hAnsi="Arial"/>
        <w:noProof/>
        <w:sz w:val="19"/>
        <w:szCs w:val="19"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BE684D" wp14:editId="6AB4552B">
              <wp:simplePos x="0" y="0"/>
              <wp:positionH relativeFrom="margin">
                <wp:posOffset>-450854</wp:posOffset>
              </wp:positionH>
              <wp:positionV relativeFrom="paragraph">
                <wp:posOffset>426723</wp:posOffset>
              </wp:positionV>
              <wp:extent cx="1343025" cy="266703"/>
              <wp:effectExtent l="0" t="0" r="28575" b="19047"/>
              <wp:wrapSquare wrapText="bothSides"/>
              <wp:docPr id="5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26670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>
                        <a:solidFill>
                          <a:srgbClr val="FFFFFF"/>
                        </a:solidFill>
                        <a:prstDash val="solid"/>
                      </a:ln>
                    </wps:spPr>
                    <wps:txbx>
                      <w:txbxContent>
                        <w:p w14:paraId="152FF07C" w14:textId="77777777" w:rsidR="00D254A1" w:rsidRDefault="00893E49"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  <w:t>CO-SC-CER437981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7" type="#_x0000_t202" style="position:absolute;margin-left:-35.5pt;margin-top:33.6pt;width:10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" strokecolor="white" strokeweight=".26467mm">
              <v:textbox>
                <w:txbxContent>
                  <w:p w:rsidR="00D254A1" w:rsidRDefault="00893E49">
                    <w:r>
                      <w:rPr>
                        <w:rFonts w:ascii="Arial Narrow" w:hAnsi="Arial Narrow"/>
                        <w:sz w:val="16"/>
                        <w:szCs w:val="16"/>
                      </w:rPr>
                      <w:t>CO-SC-CER437981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B0360" w14:textId="77777777" w:rsidR="001F7BAD" w:rsidRDefault="001F7BAD">
      <w:r>
        <w:rPr>
          <w:color w:val="000000"/>
        </w:rPr>
        <w:separator/>
      </w:r>
    </w:p>
  </w:footnote>
  <w:footnote w:type="continuationSeparator" w:id="0">
    <w:p w14:paraId="503EA47D" w14:textId="77777777" w:rsidR="001F7BAD" w:rsidRDefault="001F7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68EF1" w14:textId="77777777" w:rsidR="00D254A1" w:rsidRDefault="00893E49">
    <w:pPr>
      <w:pStyle w:val="Heading"/>
    </w:pPr>
    <w:r>
      <w:rPr>
        <w:noProof/>
        <w:lang w:eastAsia="es-CO"/>
      </w:rPr>
      <w:drawing>
        <wp:inline distT="0" distB="0" distL="0" distR="0" wp14:anchorId="56893F85" wp14:editId="6A56B259">
          <wp:extent cx="1295403" cy="1009653"/>
          <wp:effectExtent l="0" t="0" r="0" b="0"/>
          <wp:docPr id="1" name="Imagen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5403" cy="10096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06E68740" w14:textId="77777777" w:rsidR="00D254A1" w:rsidRDefault="001F7BAD">
    <w:pPr>
      <w:pStyle w:val="Heading"/>
    </w:pPr>
  </w:p>
  <w:p w14:paraId="54DF519B" w14:textId="77777777" w:rsidR="00D254A1" w:rsidRDefault="001F7BAD">
    <w:pPr>
      <w:pStyle w:val="Head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1009D"/>
    <w:multiLevelType w:val="multilevel"/>
    <w:tmpl w:val="76BED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147"/>
    <w:rsid w:val="00017147"/>
    <w:rsid w:val="00102784"/>
    <w:rsid w:val="001F7BAD"/>
    <w:rsid w:val="003F1BDC"/>
    <w:rsid w:val="00513FD5"/>
    <w:rsid w:val="00893E49"/>
    <w:rsid w:val="00923C23"/>
    <w:rsid w:val="009D3030"/>
    <w:rsid w:val="00B02D38"/>
    <w:rsid w:val="00B037A3"/>
    <w:rsid w:val="00BD6BCD"/>
    <w:rsid w:val="00BD76F1"/>
    <w:rsid w:val="00BF2643"/>
    <w:rsid w:val="00C3207C"/>
    <w:rsid w:val="00D451A7"/>
    <w:rsid w:val="00DD7E45"/>
    <w:rsid w:val="00EB08D2"/>
    <w:rsid w:val="00F07BEA"/>
    <w:rsid w:val="00F125E9"/>
    <w:rsid w:val="00FD4A89"/>
    <w:rsid w:val="00FE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1730C"/>
  <w15:docId w15:val="{AE711FF5-C714-4A12-9A09-0A4040F7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"/>
        <w:kern w:val="3"/>
        <w:sz w:val="24"/>
        <w:szCs w:val="24"/>
        <w:lang w:val="es-CO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rFonts w:eastAsia="Arial Unicode M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D6BCD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Ttulo3">
    <w:name w:val="heading 3"/>
    <w:basedOn w:val="Normal"/>
    <w:pPr>
      <w:widowControl/>
      <w:suppressAutoHyphens w:val="0"/>
      <w:spacing w:before="100" w:after="100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es-CO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eastAsia="Arial Unicode MS" w:cs="Times New Roman"/>
      <w:lang w:bidi="ar-SA"/>
    </w:rPr>
  </w:style>
  <w:style w:type="paragraph" w:customStyle="1" w:styleId="Heading">
    <w:name w:val="Heading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ascii="Calisto MT" w:hAnsi="Calisto MT" w:cs="Tahoma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Encabezado1">
    <w:name w:val="Encabezado1"/>
    <w:basedOn w:val="Standard"/>
    <w:next w:val="Textbod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iedepgin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Framecontents">
    <w:name w:val="Frame contents"/>
    <w:basedOn w:val="Textbody"/>
  </w:style>
  <w:style w:type="paragraph" w:customStyle="1" w:styleId="Default">
    <w:name w:val="Default"/>
    <w:pPr>
      <w:suppressAutoHyphens/>
      <w:autoSpaceDE w:val="0"/>
    </w:pPr>
    <w:rPr>
      <w:rFonts w:ascii="Verdana" w:hAnsi="Verdana" w:cs="Verdana"/>
      <w:color w:val="000000"/>
    </w:rPr>
  </w:style>
  <w:style w:type="paragraph" w:styleId="NormalWeb">
    <w:name w:val="Normal (Web)"/>
    <w:basedOn w:val="Standard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styleId="Encabezado">
    <w:name w:val="header"/>
    <w:basedOn w:val="Standard"/>
    <w:pPr>
      <w:suppressLineNumbers/>
      <w:tabs>
        <w:tab w:val="center" w:pos="4986"/>
        <w:tab w:val="right" w:pos="9972"/>
      </w:tabs>
    </w:p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Internetlink">
    <w:name w:val="Internet link"/>
    <w:rPr>
      <w:color w:val="0563C1"/>
      <w:u w:val="single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Refdenotaalpie">
    <w:name w:val="footnote reference"/>
    <w:basedOn w:val="Fuentedeprrafopredeter"/>
    <w:rPr>
      <w:position w:val="0"/>
      <w:vertAlign w:val="superscript"/>
    </w:rPr>
  </w:style>
  <w:style w:type="character" w:styleId="Hipervnculo">
    <w:name w:val="Hyperlink"/>
    <w:basedOn w:val="Fuentedeprrafopredeter"/>
    <w:rPr>
      <w:color w:val="0563C1"/>
      <w:u w:val="single"/>
    </w:rPr>
  </w:style>
  <w:style w:type="character" w:customStyle="1" w:styleId="vortaltextarea">
    <w:name w:val="vortaltextarea"/>
    <w:basedOn w:val="Fuentedeprrafopredeter"/>
  </w:style>
  <w:style w:type="character" w:customStyle="1" w:styleId="Ttulo3Car">
    <w:name w:val="Título 3 Car"/>
    <w:basedOn w:val="Fuentedeprrafopredeter"/>
    <w:rPr>
      <w:rFonts w:eastAsia="Times New Roman" w:cs="Times New Roman"/>
      <w:b/>
      <w:bCs/>
      <w:kern w:val="0"/>
      <w:sz w:val="27"/>
      <w:szCs w:val="27"/>
      <w:lang w:eastAsia="es-CO" w:bidi="ar-SA"/>
    </w:rPr>
  </w:style>
  <w:style w:type="character" w:customStyle="1" w:styleId="go">
    <w:name w:val="go"/>
    <w:basedOn w:val="Fuentedeprrafopredeter"/>
  </w:style>
  <w:style w:type="paragraph" w:styleId="Textodeglobo">
    <w:name w:val="Balloon Text"/>
    <w:basedOn w:val="Normal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rPr>
      <w:rFonts w:ascii="Tahoma" w:eastAsia="Arial Unicode MS" w:hAnsi="Tahoma" w:cs="Mangal"/>
      <w:sz w:val="16"/>
      <w:szCs w:val="14"/>
    </w:rPr>
  </w:style>
  <w:style w:type="paragraph" w:styleId="Prrafodelista">
    <w:name w:val="List Paragraph"/>
    <w:basedOn w:val="Normal"/>
    <w:pPr>
      <w:widowControl/>
      <w:suppressAutoHyphens w:val="0"/>
      <w:spacing w:after="160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table" w:styleId="Tablaconcuadrcula">
    <w:name w:val="Table Grid"/>
    <w:basedOn w:val="Tablanormal"/>
    <w:uiPriority w:val="39"/>
    <w:rsid w:val="00BF2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BD6BCD"/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2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ali,gov.c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681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Alcaldia de Cali Gestion Documental</dc:creator>
  <cp:lastModifiedBy>yolenis vente llanos</cp:lastModifiedBy>
  <cp:revision>5</cp:revision>
  <dcterms:created xsi:type="dcterms:W3CDTF">2025-04-24T18:21:00Z</dcterms:created>
  <dcterms:modified xsi:type="dcterms:W3CDTF">2025-07-08T22:37:00Z</dcterms:modified>
</cp:coreProperties>
</file>